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EC352" w14:textId="19B56462" w:rsidR="006A5309" w:rsidRDefault="006A5309" w:rsidP="006A5309">
      <w:pPr>
        <w:pStyle w:val="Title"/>
        <w:jc w:val="center"/>
      </w:pPr>
      <w:r w:rsidRPr="006A5309">
        <w:rPr>
          <w:b/>
        </w:rPr>
        <w:t>France</w:t>
      </w:r>
      <w:r w:rsidRPr="006A5309">
        <w:rPr>
          <w:b/>
          <w:sz w:val="72"/>
        </w:rPr>
        <w:t> </w:t>
      </w:r>
      <w:r>
        <w:rPr>
          <w:sz w:val="72"/>
        </w:rPr>
        <w:t xml:space="preserve">: </w:t>
      </w:r>
      <w:bookmarkStart w:id="0" w:name="_GoBack"/>
      <w:r>
        <w:t>Le</w:t>
      </w:r>
      <w:r>
        <w:t xml:space="preserve"> management des déchets DEEE, emballages et batterie</w:t>
      </w:r>
    </w:p>
    <w:bookmarkEnd w:id="0"/>
    <w:p w14:paraId="2560208B" w14:textId="77777777" w:rsidR="006A5309" w:rsidRDefault="006A5309" w:rsidP="0079572E">
      <w:pPr>
        <w:tabs>
          <w:tab w:val="left" w:pos="5670"/>
        </w:tabs>
        <w:spacing w:after="0" w:line="240" w:lineRule="auto"/>
        <w:jc w:val="both"/>
      </w:pPr>
    </w:p>
    <w:p w14:paraId="40FB600B" w14:textId="77777777" w:rsidR="006A5309" w:rsidRDefault="006A5309" w:rsidP="0079572E">
      <w:pPr>
        <w:tabs>
          <w:tab w:val="left" w:pos="5670"/>
        </w:tabs>
        <w:spacing w:after="0" w:line="240" w:lineRule="auto"/>
        <w:jc w:val="both"/>
      </w:pPr>
    </w:p>
    <w:p w14:paraId="73CD3BFA" w14:textId="77777777" w:rsidR="006A5309" w:rsidRDefault="006A5309" w:rsidP="006A5309">
      <w:pPr>
        <w:pStyle w:val="Heading1"/>
        <w:numPr>
          <w:ilvl w:val="0"/>
          <w:numId w:val="3"/>
        </w:numPr>
      </w:pPr>
      <w:proofErr w:type="spellStart"/>
      <w:r>
        <w:t>Recyclabilité</w:t>
      </w:r>
      <w:proofErr w:type="spellEnd"/>
      <w:r>
        <w:t xml:space="preserve"> des équipements électriques et électroniques : </w:t>
      </w:r>
    </w:p>
    <w:p w14:paraId="06A0531A" w14:textId="77777777" w:rsidR="006A5309" w:rsidRDefault="006A5309" w:rsidP="0079572E">
      <w:pPr>
        <w:tabs>
          <w:tab w:val="left" w:pos="5670"/>
        </w:tabs>
        <w:spacing w:after="0" w:line="240" w:lineRule="auto"/>
        <w:jc w:val="both"/>
      </w:pPr>
    </w:p>
    <w:p w14:paraId="4FA0BC66" w14:textId="77777777" w:rsidR="006A5309" w:rsidRDefault="006A5309" w:rsidP="0079572E">
      <w:pPr>
        <w:tabs>
          <w:tab w:val="left" w:pos="5670"/>
        </w:tabs>
        <w:spacing w:after="0" w:line="240" w:lineRule="auto"/>
        <w:jc w:val="both"/>
      </w:pPr>
      <w:r>
        <w:t xml:space="preserve">Depuis Novembre 2006, les Déchets d’Equipements Electriques et Electroniques (DEEE) ne doivent plus être jetés à la poubelle. Tous les appareils alimentés sur secteur, pile ou batterie doivent être dépollués puis recyclés. </w:t>
      </w:r>
    </w:p>
    <w:p w14:paraId="16E30850" w14:textId="77777777" w:rsidR="006A5309" w:rsidRDefault="006A5309" w:rsidP="0079572E">
      <w:pPr>
        <w:tabs>
          <w:tab w:val="left" w:pos="5670"/>
        </w:tabs>
        <w:spacing w:after="0" w:line="240" w:lineRule="auto"/>
        <w:jc w:val="both"/>
      </w:pPr>
    </w:p>
    <w:p w14:paraId="1EC2A1AF" w14:textId="77777777" w:rsidR="006A5309" w:rsidRDefault="006A5309" w:rsidP="0079572E">
      <w:pPr>
        <w:tabs>
          <w:tab w:val="left" w:pos="5670"/>
        </w:tabs>
        <w:spacing w:after="0" w:line="240" w:lineRule="auto"/>
        <w:jc w:val="both"/>
      </w:pPr>
      <w:r>
        <w:t xml:space="preserve">La Directive Européenne et 2012/19/CE relative aux déchets d'équipements électriques et électroniques (DEEE) a été transposée en France par le Décret n°2014-928 du 22 aout 2014 relatif à la composition des équipements électriques et électroniques et l’élimination des déchets issus de ces équipements. Ce décret a été codifié aux articles R 543-172 à R 543-206 du Code de l’environnement. </w:t>
      </w:r>
    </w:p>
    <w:p w14:paraId="35C0A9E3" w14:textId="77777777" w:rsidR="006A5309" w:rsidRDefault="006A5309" w:rsidP="0079572E">
      <w:pPr>
        <w:tabs>
          <w:tab w:val="left" w:pos="5670"/>
        </w:tabs>
        <w:spacing w:after="0" w:line="240" w:lineRule="auto"/>
        <w:jc w:val="both"/>
      </w:pPr>
    </w:p>
    <w:p w14:paraId="3B423F09" w14:textId="77777777" w:rsidR="006A5309" w:rsidRDefault="006A5309" w:rsidP="0079572E">
      <w:pPr>
        <w:tabs>
          <w:tab w:val="left" w:pos="5670"/>
        </w:tabs>
        <w:spacing w:after="0" w:line="240" w:lineRule="auto"/>
        <w:jc w:val="both"/>
      </w:pPr>
      <w:r>
        <w:t xml:space="preserve">La signalétique POUBELLE BARRÉE signifie qu’un produit doit être éliminé dans une structure de récupération et de recyclage appropriée. </w:t>
      </w:r>
    </w:p>
    <w:p w14:paraId="78106758" w14:textId="77777777" w:rsidR="006A5309" w:rsidRDefault="006A5309" w:rsidP="0079572E">
      <w:pPr>
        <w:tabs>
          <w:tab w:val="left" w:pos="5670"/>
        </w:tabs>
        <w:spacing w:after="0" w:line="240" w:lineRule="auto"/>
        <w:jc w:val="both"/>
      </w:pPr>
    </w:p>
    <w:p w14:paraId="2859A091" w14:textId="64564C46" w:rsidR="006A5309" w:rsidRDefault="006A5309" w:rsidP="0079572E">
      <w:pPr>
        <w:tabs>
          <w:tab w:val="left" w:pos="5670"/>
        </w:tabs>
        <w:spacing w:after="0" w:line="240" w:lineRule="auto"/>
        <w:jc w:val="both"/>
      </w:pPr>
      <w:r>
        <w:t xml:space="preserve">En tant que producteur, notre compagnie se conforme à cette directive pour la mise sur le marché </w:t>
      </w:r>
      <w:r>
        <w:t xml:space="preserve">nos </w:t>
      </w:r>
      <w:r>
        <w:t xml:space="preserve"> produits.</w:t>
      </w:r>
    </w:p>
    <w:p w14:paraId="72289BF2" w14:textId="77777777" w:rsidR="006A5309" w:rsidRDefault="006A5309" w:rsidP="0079572E">
      <w:pPr>
        <w:tabs>
          <w:tab w:val="left" w:pos="5670"/>
        </w:tabs>
        <w:spacing w:after="0" w:line="240" w:lineRule="auto"/>
        <w:jc w:val="both"/>
      </w:pPr>
    </w:p>
    <w:p w14:paraId="5DB90A92" w14:textId="77777777" w:rsidR="006A5309" w:rsidRDefault="006A5309" w:rsidP="0079572E">
      <w:pPr>
        <w:tabs>
          <w:tab w:val="left" w:pos="5670"/>
        </w:tabs>
        <w:spacing w:after="0" w:line="240" w:lineRule="auto"/>
        <w:jc w:val="both"/>
      </w:pPr>
      <w:r>
        <w:t xml:space="preserve">Notre responsabilité de producteur en France : </w:t>
      </w:r>
    </w:p>
    <w:p w14:paraId="781744C8" w14:textId="4778328E" w:rsidR="006A5309" w:rsidRDefault="006A5309" w:rsidP="006A5309">
      <w:pPr>
        <w:pStyle w:val="ListParagraph"/>
        <w:numPr>
          <w:ilvl w:val="0"/>
          <w:numId w:val="2"/>
        </w:numPr>
        <w:tabs>
          <w:tab w:val="left" w:pos="5670"/>
        </w:tabs>
        <w:spacing w:before="240" w:line="240" w:lineRule="auto"/>
        <w:jc w:val="both"/>
      </w:pPr>
      <w:r>
        <w:t>L’éco-participation : Notre compagnie verse l’éco-participation à un éco-organisme agréé par l’Etat, qui prend en charge les appareils usagés pour les dépolluer et les recycler. En France, notre compagnie verse cette participation à l’organisme ECO</w:t>
      </w:r>
      <w:r>
        <w:t>-</w:t>
      </w:r>
      <w:r>
        <w:t>SYSTEM</w:t>
      </w:r>
      <w:r>
        <w:t>ES</w:t>
      </w:r>
      <w:r>
        <w:t xml:space="preserve">. </w:t>
      </w:r>
    </w:p>
    <w:p w14:paraId="66EB1E34" w14:textId="77777777" w:rsidR="006A5309" w:rsidRDefault="006A5309" w:rsidP="006A5309">
      <w:pPr>
        <w:pStyle w:val="ListParagraph"/>
        <w:tabs>
          <w:tab w:val="left" w:pos="5670"/>
        </w:tabs>
        <w:spacing w:before="240" w:line="240" w:lineRule="auto"/>
        <w:jc w:val="both"/>
      </w:pPr>
    </w:p>
    <w:p w14:paraId="3A245423" w14:textId="77777777" w:rsidR="006A5309" w:rsidRDefault="006A5309" w:rsidP="006A5309">
      <w:pPr>
        <w:pStyle w:val="ListParagraph"/>
        <w:numPr>
          <w:ilvl w:val="0"/>
          <w:numId w:val="2"/>
        </w:numPr>
        <w:tabs>
          <w:tab w:val="left" w:pos="5670"/>
        </w:tabs>
        <w:spacing w:before="240" w:line="240" w:lineRule="auto"/>
        <w:jc w:val="both"/>
      </w:pPr>
      <w:r>
        <w:t>La communication : Nos produits sont marqués du symbole «la poubelle barrée» afin d’inciter nos utilisateurs à les ramener dans une structure de récupération appropriée.</w:t>
      </w:r>
    </w:p>
    <w:p w14:paraId="26F2099C" w14:textId="77777777" w:rsidR="006A5309" w:rsidRDefault="006A5309" w:rsidP="006A5309">
      <w:pPr>
        <w:pStyle w:val="ListParagraph"/>
      </w:pPr>
    </w:p>
    <w:p w14:paraId="291917C0" w14:textId="7A2D1D51" w:rsidR="006A5309" w:rsidRDefault="006A5309" w:rsidP="006A5309">
      <w:pPr>
        <w:pStyle w:val="ListParagraph"/>
        <w:numPr>
          <w:ilvl w:val="0"/>
          <w:numId w:val="2"/>
        </w:numPr>
        <w:tabs>
          <w:tab w:val="left" w:pos="5670"/>
        </w:tabs>
        <w:spacing w:before="240" w:line="240" w:lineRule="auto"/>
        <w:jc w:val="both"/>
      </w:pPr>
      <w:r>
        <w:t xml:space="preserve">L’Eco-conception: Notre compagnie conçoit ses produits de manière </w:t>
      </w:r>
      <w:r w:rsidR="00945983">
        <w:t>à</w:t>
      </w:r>
      <w:r>
        <w:t xml:space="preserve"> faciliter leur recyclage. L’Eco-conception permet de prévenir la pollution dès le début de la vie du produit. </w:t>
      </w:r>
    </w:p>
    <w:p w14:paraId="1A39B051" w14:textId="77777777" w:rsidR="006A5309" w:rsidRDefault="006A5309" w:rsidP="006A5309">
      <w:pPr>
        <w:pStyle w:val="ListParagraph"/>
        <w:tabs>
          <w:tab w:val="left" w:pos="5670"/>
        </w:tabs>
        <w:spacing w:after="0" w:line="240" w:lineRule="auto"/>
        <w:jc w:val="both"/>
      </w:pPr>
    </w:p>
    <w:p w14:paraId="36C1638D" w14:textId="7EFDD98A" w:rsidR="006A5309" w:rsidRDefault="006A5309" w:rsidP="006A5309">
      <w:pPr>
        <w:tabs>
          <w:tab w:val="left" w:pos="5670"/>
        </w:tabs>
        <w:spacing w:after="0" w:line="240" w:lineRule="auto"/>
        <w:jc w:val="both"/>
      </w:pPr>
      <w:r>
        <w:t xml:space="preserve">Votre responsabilité d’utilisateur : Pensez à rapporter vos produits électroniques et électriques, ainsi que les batteries usagés dans un point de collecte. Pour toute information concernant les appareils électriques et électroniques, visitez le site </w:t>
      </w:r>
      <w:r w:rsidR="00945983">
        <w:t>d’</w:t>
      </w:r>
      <w:r w:rsidR="00945983" w:rsidRPr="006A5309">
        <w:t>ECO</w:t>
      </w:r>
      <w:r w:rsidRPr="006A5309">
        <w:t xml:space="preserve">-SYSTEMES </w:t>
      </w:r>
      <w:r>
        <w:t xml:space="preserve">auquel </w:t>
      </w:r>
      <w:r>
        <w:t>TCL</w:t>
      </w:r>
      <w:r>
        <w:t xml:space="preserve"> adhèr</w:t>
      </w:r>
      <w:r>
        <w:t xml:space="preserve">e : </w:t>
      </w:r>
      <w:hyperlink r:id="rId7" w:history="1">
        <w:r w:rsidRPr="009C1D77">
          <w:rPr>
            <w:rStyle w:val="Hyperlink"/>
          </w:rPr>
          <w:t>http://www.eco-systemes.fr/</w:t>
        </w:r>
      </w:hyperlink>
      <w:r>
        <w:t xml:space="preserve"> </w:t>
      </w:r>
    </w:p>
    <w:p w14:paraId="6F9F74BF" w14:textId="77777777" w:rsidR="006A5309" w:rsidRDefault="006A5309" w:rsidP="006A5309">
      <w:pPr>
        <w:pStyle w:val="Heading1"/>
        <w:numPr>
          <w:ilvl w:val="0"/>
          <w:numId w:val="3"/>
        </w:numPr>
      </w:pPr>
      <w:proofErr w:type="spellStart"/>
      <w:r>
        <w:lastRenderedPageBreak/>
        <w:t>Recyclabilité</w:t>
      </w:r>
      <w:proofErr w:type="spellEnd"/>
      <w:r>
        <w:t xml:space="preserve"> des emballages : </w:t>
      </w:r>
    </w:p>
    <w:p w14:paraId="2898AAF1" w14:textId="77777777" w:rsidR="006A5309" w:rsidRDefault="006A5309" w:rsidP="006A5309">
      <w:pPr>
        <w:tabs>
          <w:tab w:val="left" w:pos="5670"/>
        </w:tabs>
        <w:spacing w:after="0" w:line="240" w:lineRule="auto"/>
        <w:jc w:val="both"/>
      </w:pPr>
    </w:p>
    <w:p w14:paraId="03E2A9F5" w14:textId="77777777" w:rsidR="006A5309" w:rsidRDefault="006A5309" w:rsidP="006A5309">
      <w:pPr>
        <w:tabs>
          <w:tab w:val="left" w:pos="5670"/>
        </w:tabs>
        <w:spacing w:after="0" w:line="240" w:lineRule="auto"/>
        <w:jc w:val="both"/>
      </w:pPr>
      <w:r>
        <w:t xml:space="preserve">Le décret n°2014-1577 du 23 décembre 2014 relatif à la signalétique commune des produits recyclables qui relèvent d'une consigne de tri a été publié au JORF le 26 décembre 2014. </w:t>
      </w:r>
    </w:p>
    <w:p w14:paraId="4EA9BAEA" w14:textId="77777777" w:rsidR="006A5309" w:rsidRDefault="006A5309" w:rsidP="006A5309">
      <w:pPr>
        <w:tabs>
          <w:tab w:val="left" w:pos="5670"/>
        </w:tabs>
        <w:spacing w:after="0" w:line="240" w:lineRule="auto"/>
        <w:jc w:val="both"/>
      </w:pPr>
    </w:p>
    <w:p w14:paraId="607470C8" w14:textId="77777777" w:rsidR="006A5309" w:rsidRDefault="006A5309" w:rsidP="006A5309">
      <w:pPr>
        <w:tabs>
          <w:tab w:val="left" w:pos="5670"/>
        </w:tabs>
        <w:spacing w:after="0" w:line="240" w:lineRule="auto"/>
        <w:jc w:val="both"/>
      </w:pPr>
      <w:r>
        <w:t xml:space="preserve">La signalétique TRIMAN est apposée sur tous les produits recyclables, relevant d’une consigne de tri et qui sont soumis aux dispositifs de responsabilité élargie du producteur hors équipements électriques et électroniques, piles et accumulateurs et déchets diffus spécifiques (soumis à des marquages spécifiques notamment dans le cadre d’obligations européennes). </w:t>
      </w:r>
    </w:p>
    <w:p w14:paraId="1A152FDC" w14:textId="77777777" w:rsidR="006A5309" w:rsidRDefault="006A5309" w:rsidP="006A5309">
      <w:pPr>
        <w:tabs>
          <w:tab w:val="left" w:pos="5670"/>
        </w:tabs>
        <w:spacing w:after="0" w:line="240" w:lineRule="auto"/>
        <w:jc w:val="both"/>
      </w:pPr>
    </w:p>
    <w:p w14:paraId="3DAA0C71" w14:textId="1D4F2C9C" w:rsidR="001065F6" w:rsidRPr="006A5309" w:rsidRDefault="006A5309" w:rsidP="006A5309">
      <w:pPr>
        <w:tabs>
          <w:tab w:val="left" w:pos="5670"/>
        </w:tabs>
        <w:spacing w:after="0" w:line="240" w:lineRule="auto"/>
        <w:jc w:val="both"/>
      </w:pPr>
      <w:r>
        <w:t xml:space="preserve">Faites un geste éco-citoyen en triant les emballages cartons, papier et plastique. Pour toute information concernant le traitement des emballages, visitez le site d’Ecoemballages auquel </w:t>
      </w:r>
      <w:r>
        <w:t xml:space="preserve">TCL </w:t>
      </w:r>
      <w:r>
        <w:t xml:space="preserve">adhère : </w:t>
      </w:r>
      <w:hyperlink r:id="rId8" w:history="1">
        <w:r w:rsidRPr="009C1D77">
          <w:rPr>
            <w:rStyle w:val="Hyperlink"/>
          </w:rPr>
          <w:t>http://www.ecoemballages.fr/</w:t>
        </w:r>
      </w:hyperlink>
      <w:r>
        <w:t xml:space="preserve"> </w:t>
      </w:r>
    </w:p>
    <w:sectPr w:rsidR="001065F6" w:rsidRPr="006A5309" w:rsidSect="006A5309">
      <w:headerReference w:type="default" r:id="rId9"/>
      <w:footerReference w:type="default" r:id="rId10"/>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2F479" w14:textId="77777777" w:rsidR="00ED5144" w:rsidRDefault="00ED5144" w:rsidP="00E230AE">
      <w:pPr>
        <w:spacing w:after="0" w:line="240" w:lineRule="auto"/>
      </w:pPr>
      <w:r>
        <w:separator/>
      </w:r>
    </w:p>
  </w:endnote>
  <w:endnote w:type="continuationSeparator" w:id="0">
    <w:p w14:paraId="79C62F00" w14:textId="77777777" w:rsidR="00ED5144" w:rsidRDefault="00ED5144" w:rsidP="00E2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A Bk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6FA5" w14:textId="77777777" w:rsidR="00E230AE" w:rsidRDefault="00E230AE" w:rsidP="00E230AE">
    <w:pPr>
      <w:pStyle w:val="BodyText"/>
      <w:pBdr>
        <w:bottom w:val="single" w:sz="12" w:space="1" w:color="auto"/>
      </w:pBdr>
      <w:jc w:val="center"/>
      <w:rPr>
        <w:rFonts w:asciiTheme="minorHAnsi" w:hAnsiTheme="minorHAnsi"/>
        <w:sz w:val="16"/>
        <w:szCs w:val="16"/>
      </w:rPr>
    </w:pPr>
  </w:p>
  <w:p w14:paraId="7AD9DBEA" w14:textId="77777777" w:rsidR="00E230AE" w:rsidRPr="00E230AE" w:rsidRDefault="00E230AE" w:rsidP="00E230AE">
    <w:pPr>
      <w:pStyle w:val="BodyText"/>
      <w:jc w:val="center"/>
      <w:rPr>
        <w:rFonts w:asciiTheme="minorHAnsi" w:hAnsiTheme="minorHAnsi"/>
        <w:sz w:val="16"/>
        <w:szCs w:val="16"/>
      </w:rPr>
    </w:pPr>
  </w:p>
  <w:p w14:paraId="12D68B15" w14:textId="77777777" w:rsidR="00E230AE" w:rsidRPr="00E230AE" w:rsidRDefault="00E230AE" w:rsidP="00E230AE">
    <w:pPr>
      <w:pStyle w:val="BodyText"/>
      <w:jc w:val="center"/>
      <w:rPr>
        <w:rFonts w:asciiTheme="minorHAnsi" w:hAnsiTheme="minorHAnsi" w:cs="Arial"/>
        <w:sz w:val="16"/>
        <w:szCs w:val="16"/>
      </w:rPr>
    </w:pPr>
    <w:r w:rsidRPr="00E230AE">
      <w:rPr>
        <w:rFonts w:asciiTheme="minorHAnsi" w:hAnsiTheme="minorHAnsi" w:cs="Arial"/>
        <w:sz w:val="16"/>
        <w:szCs w:val="16"/>
      </w:rPr>
      <w:t>TCT Mobile Europe SAS - Siège social : 55, avenue des Champs Pierreux, Immeuble Le Capitole  92000 Nanterre France</w:t>
    </w:r>
  </w:p>
  <w:p w14:paraId="4BA26DD5" w14:textId="77777777" w:rsidR="00E230AE" w:rsidRPr="00E230AE" w:rsidRDefault="00E230AE" w:rsidP="00E230AE">
    <w:pPr>
      <w:pStyle w:val="BodyText"/>
      <w:jc w:val="center"/>
      <w:rPr>
        <w:rFonts w:asciiTheme="minorHAnsi" w:hAnsiTheme="minorHAnsi" w:cs="Arial"/>
        <w:sz w:val="16"/>
        <w:szCs w:val="16"/>
      </w:rPr>
    </w:pPr>
    <w:r w:rsidRPr="00E230AE">
      <w:rPr>
        <w:rFonts w:asciiTheme="minorHAnsi" w:hAnsiTheme="minorHAnsi" w:cs="Arial"/>
        <w:sz w:val="16"/>
        <w:szCs w:val="16"/>
      </w:rPr>
      <w:t>SAS au capital de 23 031 072 euros - RCS Nanterre B 440 038 222 - Siret 440 038 222 00038</w:t>
    </w:r>
  </w:p>
  <w:p w14:paraId="315C6FFA" w14:textId="77777777" w:rsidR="00E230AE" w:rsidRPr="00E230AE" w:rsidRDefault="00E230AE" w:rsidP="00E230AE">
    <w:pPr>
      <w:pStyle w:val="Footer"/>
      <w:jc w:val="center"/>
      <w:rPr>
        <w:sz w:val="16"/>
        <w:szCs w:val="16"/>
      </w:rPr>
    </w:pPr>
  </w:p>
  <w:p w14:paraId="42409D5E" w14:textId="77777777" w:rsidR="00E230AE" w:rsidRPr="00E230AE" w:rsidRDefault="00E230A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8FEA" w14:textId="77777777" w:rsidR="00ED5144" w:rsidRDefault="00ED5144" w:rsidP="00E230AE">
      <w:pPr>
        <w:spacing w:after="0" w:line="240" w:lineRule="auto"/>
      </w:pPr>
      <w:r>
        <w:separator/>
      </w:r>
    </w:p>
  </w:footnote>
  <w:footnote w:type="continuationSeparator" w:id="0">
    <w:p w14:paraId="076FCF45" w14:textId="77777777" w:rsidR="00ED5144" w:rsidRDefault="00ED5144" w:rsidP="00E23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59ED6" w14:textId="1093780C" w:rsidR="00E230AE" w:rsidRDefault="002E52F9" w:rsidP="00B2183E">
    <w:pPr>
      <w:tabs>
        <w:tab w:val="left" w:pos="6663"/>
      </w:tabs>
      <w:ind w:right="-810"/>
    </w:pPr>
    <w:r>
      <w:rPr>
        <w:noProof/>
        <w:lang w:eastAsia="fr-FR"/>
      </w:rPr>
      <w:drawing>
        <wp:inline distT="0" distB="0" distL="0" distR="0" wp14:anchorId="04712720" wp14:editId="4E3E3053">
          <wp:extent cx="1441094" cy="1000831"/>
          <wp:effectExtent l="0" t="0" r="6985"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L Com.JPG"/>
                  <pic:cNvPicPr/>
                </pic:nvPicPr>
                <pic:blipFill>
                  <a:blip r:embed="rId1">
                    <a:extLst>
                      <a:ext uri="{28A0092B-C50C-407E-A947-70E740481C1C}">
                        <a14:useLocalDpi xmlns:a14="http://schemas.microsoft.com/office/drawing/2010/main" val="0"/>
                      </a:ext>
                    </a:extLst>
                  </a:blip>
                  <a:stretch>
                    <a:fillRect/>
                  </a:stretch>
                </pic:blipFill>
                <pic:spPr>
                  <a:xfrm>
                    <a:off x="0" y="0"/>
                    <a:ext cx="1472878" cy="1022905"/>
                  </a:xfrm>
                  <a:prstGeom prst="rect">
                    <a:avLst/>
                  </a:prstGeom>
                </pic:spPr>
              </pic:pic>
            </a:graphicData>
          </a:graphic>
        </wp:inline>
      </w:drawing>
    </w:r>
    <w:r w:rsidR="00810F7C">
      <w:tab/>
    </w:r>
  </w:p>
  <w:p w14:paraId="1C1B51BC" w14:textId="77777777" w:rsidR="00E230AE" w:rsidRDefault="00E23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D2319"/>
    <w:multiLevelType w:val="hybridMultilevel"/>
    <w:tmpl w:val="B6902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AA686B"/>
    <w:multiLevelType w:val="hybridMultilevel"/>
    <w:tmpl w:val="3D728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B87375"/>
    <w:multiLevelType w:val="hybridMultilevel"/>
    <w:tmpl w:val="AFC0E02E"/>
    <w:lvl w:ilvl="0" w:tplc="399460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E8"/>
    <w:rsid w:val="000B6C07"/>
    <w:rsid w:val="0010257B"/>
    <w:rsid w:val="001065F6"/>
    <w:rsid w:val="00133B63"/>
    <w:rsid w:val="00180E15"/>
    <w:rsid w:val="001A59F8"/>
    <w:rsid w:val="00214753"/>
    <w:rsid w:val="00236780"/>
    <w:rsid w:val="00267A00"/>
    <w:rsid w:val="00285384"/>
    <w:rsid w:val="002A53C5"/>
    <w:rsid w:val="002C4AE9"/>
    <w:rsid w:val="002E52F9"/>
    <w:rsid w:val="00313E20"/>
    <w:rsid w:val="00462C8C"/>
    <w:rsid w:val="004925AA"/>
    <w:rsid w:val="00493B0C"/>
    <w:rsid w:val="004B061E"/>
    <w:rsid w:val="004C0A99"/>
    <w:rsid w:val="004C5C45"/>
    <w:rsid w:val="00523FE3"/>
    <w:rsid w:val="00542A06"/>
    <w:rsid w:val="0055149F"/>
    <w:rsid w:val="005A6D6E"/>
    <w:rsid w:val="006056CF"/>
    <w:rsid w:val="00635D49"/>
    <w:rsid w:val="00662BA1"/>
    <w:rsid w:val="006A5309"/>
    <w:rsid w:val="006C41BA"/>
    <w:rsid w:val="00776635"/>
    <w:rsid w:val="0079572E"/>
    <w:rsid w:val="007C44B8"/>
    <w:rsid w:val="007F5D4D"/>
    <w:rsid w:val="00810F7C"/>
    <w:rsid w:val="00871A2C"/>
    <w:rsid w:val="008F422C"/>
    <w:rsid w:val="00937046"/>
    <w:rsid w:val="00945983"/>
    <w:rsid w:val="00962C89"/>
    <w:rsid w:val="009B34BE"/>
    <w:rsid w:val="00A93F69"/>
    <w:rsid w:val="00AC5CE8"/>
    <w:rsid w:val="00B123CE"/>
    <w:rsid w:val="00B2183E"/>
    <w:rsid w:val="00BB2EF2"/>
    <w:rsid w:val="00BF1141"/>
    <w:rsid w:val="00C41029"/>
    <w:rsid w:val="00C5343D"/>
    <w:rsid w:val="00C83AF0"/>
    <w:rsid w:val="00C965DF"/>
    <w:rsid w:val="00CD0142"/>
    <w:rsid w:val="00CE25A9"/>
    <w:rsid w:val="00D10725"/>
    <w:rsid w:val="00D436D1"/>
    <w:rsid w:val="00D9352F"/>
    <w:rsid w:val="00D96D9A"/>
    <w:rsid w:val="00E230AE"/>
    <w:rsid w:val="00E67A70"/>
    <w:rsid w:val="00E90DA8"/>
    <w:rsid w:val="00ED5144"/>
    <w:rsid w:val="00F20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DE2B2"/>
  <w15:docId w15:val="{10405C8F-10BE-45BF-923D-91B51CDC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A9"/>
  </w:style>
  <w:style w:type="paragraph" w:styleId="Heading1">
    <w:name w:val="heading 1"/>
    <w:basedOn w:val="Normal"/>
    <w:next w:val="Normal"/>
    <w:link w:val="Heading1Char"/>
    <w:uiPriority w:val="9"/>
    <w:qFormat/>
    <w:rsid w:val="006A53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0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30AE"/>
  </w:style>
  <w:style w:type="paragraph" w:styleId="Footer">
    <w:name w:val="footer"/>
    <w:basedOn w:val="Normal"/>
    <w:link w:val="FooterChar"/>
    <w:unhideWhenUsed/>
    <w:rsid w:val="00E230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0AE"/>
  </w:style>
  <w:style w:type="paragraph" w:styleId="BalloonText">
    <w:name w:val="Balloon Text"/>
    <w:basedOn w:val="Normal"/>
    <w:link w:val="BalloonTextChar"/>
    <w:uiPriority w:val="99"/>
    <w:semiHidden/>
    <w:unhideWhenUsed/>
    <w:rsid w:val="00E23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0AE"/>
    <w:rPr>
      <w:rFonts w:ascii="Tahoma" w:hAnsi="Tahoma" w:cs="Tahoma"/>
      <w:sz w:val="16"/>
      <w:szCs w:val="16"/>
    </w:rPr>
  </w:style>
  <w:style w:type="paragraph" w:styleId="BodyText">
    <w:name w:val="Body Text"/>
    <w:basedOn w:val="Normal"/>
    <w:link w:val="BodyTextChar"/>
    <w:semiHidden/>
    <w:rsid w:val="00E230AE"/>
    <w:pPr>
      <w:spacing w:after="0" w:line="240" w:lineRule="auto"/>
      <w:jc w:val="right"/>
    </w:pPr>
    <w:rPr>
      <w:rFonts w:ascii="FuturaA Bk BT" w:eastAsia="SimSun" w:hAnsi="FuturaA Bk BT" w:cs="Times New Roman"/>
      <w:sz w:val="24"/>
      <w:szCs w:val="24"/>
    </w:rPr>
  </w:style>
  <w:style w:type="character" w:customStyle="1" w:styleId="BodyTextChar">
    <w:name w:val="Body Text Char"/>
    <w:basedOn w:val="DefaultParagraphFont"/>
    <w:link w:val="BodyText"/>
    <w:semiHidden/>
    <w:rsid w:val="00E230AE"/>
    <w:rPr>
      <w:rFonts w:ascii="FuturaA Bk BT" w:eastAsia="SimSun" w:hAnsi="FuturaA Bk BT" w:cs="Times New Roman"/>
      <w:sz w:val="24"/>
      <w:szCs w:val="24"/>
    </w:rPr>
  </w:style>
  <w:style w:type="character" w:styleId="CommentReference">
    <w:name w:val="annotation reference"/>
    <w:basedOn w:val="DefaultParagraphFont"/>
    <w:uiPriority w:val="99"/>
    <w:semiHidden/>
    <w:unhideWhenUsed/>
    <w:rsid w:val="00810F7C"/>
    <w:rPr>
      <w:sz w:val="16"/>
      <w:szCs w:val="16"/>
    </w:rPr>
  </w:style>
  <w:style w:type="paragraph" w:styleId="CommentText">
    <w:name w:val="annotation text"/>
    <w:basedOn w:val="Normal"/>
    <w:link w:val="CommentTextChar"/>
    <w:uiPriority w:val="99"/>
    <w:semiHidden/>
    <w:unhideWhenUsed/>
    <w:rsid w:val="00810F7C"/>
    <w:pPr>
      <w:spacing w:line="240" w:lineRule="auto"/>
    </w:pPr>
    <w:rPr>
      <w:sz w:val="20"/>
      <w:szCs w:val="20"/>
    </w:rPr>
  </w:style>
  <w:style w:type="character" w:customStyle="1" w:styleId="CommentTextChar">
    <w:name w:val="Comment Text Char"/>
    <w:basedOn w:val="DefaultParagraphFont"/>
    <w:link w:val="CommentText"/>
    <w:uiPriority w:val="99"/>
    <w:semiHidden/>
    <w:rsid w:val="00810F7C"/>
    <w:rPr>
      <w:sz w:val="20"/>
      <w:szCs w:val="20"/>
    </w:rPr>
  </w:style>
  <w:style w:type="paragraph" w:styleId="CommentSubject">
    <w:name w:val="annotation subject"/>
    <w:basedOn w:val="CommentText"/>
    <w:next w:val="CommentText"/>
    <w:link w:val="CommentSubjectChar"/>
    <w:uiPriority w:val="99"/>
    <w:semiHidden/>
    <w:unhideWhenUsed/>
    <w:rsid w:val="00810F7C"/>
    <w:rPr>
      <w:b/>
      <w:bCs/>
    </w:rPr>
  </w:style>
  <w:style w:type="character" w:customStyle="1" w:styleId="CommentSubjectChar">
    <w:name w:val="Comment Subject Char"/>
    <w:basedOn w:val="CommentTextChar"/>
    <w:link w:val="CommentSubject"/>
    <w:uiPriority w:val="99"/>
    <w:semiHidden/>
    <w:rsid w:val="00810F7C"/>
    <w:rPr>
      <w:b/>
      <w:bCs/>
      <w:sz w:val="20"/>
      <w:szCs w:val="20"/>
    </w:rPr>
  </w:style>
  <w:style w:type="paragraph" w:styleId="Title">
    <w:name w:val="Title"/>
    <w:basedOn w:val="Normal"/>
    <w:next w:val="Normal"/>
    <w:link w:val="TitleChar"/>
    <w:uiPriority w:val="10"/>
    <w:qFormat/>
    <w:rsid w:val="006A53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3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530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A5309"/>
    <w:pPr>
      <w:ind w:left="720"/>
      <w:contextualSpacing/>
    </w:pPr>
  </w:style>
  <w:style w:type="character" w:styleId="Hyperlink">
    <w:name w:val="Hyperlink"/>
    <w:basedOn w:val="DefaultParagraphFont"/>
    <w:uiPriority w:val="99"/>
    <w:unhideWhenUsed/>
    <w:rsid w:val="006A5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3578">
      <w:bodyDiv w:val="1"/>
      <w:marLeft w:val="0"/>
      <w:marRight w:val="0"/>
      <w:marTop w:val="0"/>
      <w:marBottom w:val="0"/>
      <w:divBdr>
        <w:top w:val="none" w:sz="0" w:space="0" w:color="auto"/>
        <w:left w:val="none" w:sz="0" w:space="0" w:color="auto"/>
        <w:bottom w:val="none" w:sz="0" w:space="0" w:color="auto"/>
        <w:right w:val="none" w:sz="0" w:space="0" w:color="auto"/>
      </w:divBdr>
    </w:div>
    <w:div w:id="17223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emballages.fr/" TargetMode="External"/><Relationship Id="rId3" Type="http://schemas.openxmlformats.org/officeDocument/2006/relationships/settings" Target="settings.xml"/><Relationship Id="rId7" Type="http://schemas.openxmlformats.org/officeDocument/2006/relationships/hyperlink" Target="http://www.eco-system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LaurB01</dc:creator>
  <cp:lastModifiedBy>Nadine, ENGAMBA</cp:lastModifiedBy>
  <cp:revision>2</cp:revision>
  <dcterms:created xsi:type="dcterms:W3CDTF">2017-01-11T10:49:00Z</dcterms:created>
  <dcterms:modified xsi:type="dcterms:W3CDTF">2017-01-11T10:49:00Z</dcterms:modified>
</cp:coreProperties>
</file>